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CASCADE INVESTMENT, L.L.C.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2365 CARILLON POINT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REPUBLIC SERVICES,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RSG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KIRKLAND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98033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center"/>
              <w:ind w:left="42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78,150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197.18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109,894,982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50,245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201.7002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109,945,227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0" w:type="dxa"/>
            <w:vAlign w:val="bottom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4,755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202.61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109,949,982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76,224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201.2417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110,026,206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173,819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202.0388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110,200,025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87,717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203.0575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110,287,742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28,240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203.6701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110,315,982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CASCADE INVESTMENT, L.L.C.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2365 CARILLON POINT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KIRKLAND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98033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6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GATES WILLIAM H III</w:t>
              </w:r>
            </w:hyperlink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2365 CARILLON POINT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KIRKLAND</w:t>
            </w:r>
          </w:p>
        </w:tc>
        <w:tc>
          <w:tcPr>
            <w:tcW w:w="11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98033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-33020</wp:posOffset>
            </wp:positionH>
            <wp:positionV relativeFrom="paragraph">
              <wp:posOffset>-559435</wp:posOffset>
            </wp:positionV>
            <wp:extent cx="2809240" cy="6388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$196.8300 to $197.6500.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$201.4800 to $202.2400.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$200.6300 to $201.6100.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$201.6400 to $202.6250.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$202.6300 to $203.6250.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$203.6300 to $203.7500.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Cascade Investment, L.L.C.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2280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 w:line="201" w:lineRule="auto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/s/ Alan Heuberger,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05/13/2026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-27940</wp:posOffset>
            </wp:positionV>
            <wp:extent cx="1026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Michael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-17145</wp:posOffset>
            </wp:positionV>
            <wp:extent cx="125857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5554980</wp:posOffset>
            </wp:positionH>
            <wp:positionV relativeFrom="paragraph">
              <wp:posOffset>-84455</wp:posOffset>
            </wp:positionV>
            <wp:extent cx="50101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Larson, Business Manager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6967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William H. Gates III by: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205230" cy="8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Alan Heuberger, Attorney-in-</w:t>
        <w:tab/>
        <w:t>05/13/2026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897380" cy="825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64465" cy="825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96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60"/>
      </w:cols>
      <w:pgMar w:left="500" w:top="125" w:right="7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7" Type="http://schemas.openxmlformats.org/officeDocument/2006/relationships/image" Target="media/image7.png"/><Relationship Id="rId18" Type="http://schemas.openxmlformats.org/officeDocument/2006/relationships/image" Target="media/image8.png"/><Relationship Id="rId19" Type="http://schemas.openxmlformats.org/officeDocument/2006/relationships/image" Target="media/image9.png"/><Relationship Id="rId20" Type="http://schemas.openxmlformats.org/officeDocument/2006/relationships/image" Target="media/image10.png"/><Relationship Id="rId21" Type="http://schemas.openxmlformats.org/officeDocument/2006/relationships/image" Target="media/image11.png"/><Relationship Id="rId22" Type="http://schemas.openxmlformats.org/officeDocument/2006/relationships/image" Target="media/image12.png"/><Relationship Id="rId23" Type="http://schemas.openxmlformats.org/officeDocument/2006/relationships/image" Target="media/image13.png"/><Relationship Id="rId24" Type="http://schemas.openxmlformats.org/officeDocument/2006/relationships/image" Target="media/image14.png"/><Relationship Id="rId25" Type="http://schemas.openxmlformats.org/officeDocument/2006/relationships/image" Target="media/image15.png"/><Relationship Id="rId13" Type="http://schemas.openxmlformats.org/officeDocument/2006/relationships/hyperlink" Target="http://www.sec.gov/cgi-bin/browse-edgar?action=getcompany&amp;CIK=0001052192" TargetMode="External"/><Relationship Id="rId14" Type="http://schemas.openxmlformats.org/officeDocument/2006/relationships/hyperlink" Target="http://www.sec.gov/cgi-bin/browse-edgar?action=getcompany&amp;CIK=0001060391" TargetMode="External"/><Relationship Id="rId16" Type="http://schemas.openxmlformats.org/officeDocument/2006/relationships/hyperlink" Target="http://www.sec.gov/cgi-bin/browse-edgar?action=getcompany&amp;CIK=00009020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2026-05-13T19:56:39Z</dcterms:created>
  <dcterms:modified xsi:type="dcterms:W3CDTF">2026-05-13T19:56:39Z</dcterms:modified>
</cp:coreProperties>
</file>