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3023-1_4seq1.xml.htm"/>
      <w:bookmarkStart w:id="1" w:name="kstm2623023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CASCADE INVESTMENT, L.L.C.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2365 CARILLON POINT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REPUBLIC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71"/>
        <w:gridCol w:w="920"/>
        <w:gridCol w:w="791"/>
        <w:gridCol w:w="611"/>
        <w:gridCol w:w="333"/>
        <w:gridCol w:w="994"/>
        <w:gridCol w:w="399"/>
        <w:gridCol w:w="1103"/>
        <w:gridCol w:w="1432"/>
        <w:gridCol w:w="940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7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9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7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88,102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214.4323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110,892,084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166,095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215.0725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111,058,179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7,467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216.1514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111,065,646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3,200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214.6723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111,068,846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21,038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215.6815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111,089,884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211,771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216.3966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111,301,655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3,991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217.0873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111,305,646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2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082"/>
      </w:tblGrid>
      <w:tr>
        <w:trPr/>
        <w:tc>
          <w:tcPr>
            <w:tcW w:w="4082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8">
                    <w:r>
                      <w:rPr>
                        <w:rStyle w:val="InternetLink"/>
                      </w:rPr>
                      <w:t>CASCADE INVESTMENT, L.L.C.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2365 CARILLON POINT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9">
                    <w:r>
                      <w:rPr>
                        <w:rStyle w:val="InternetLink"/>
                      </w:rPr>
                      <w:t>GATES WILLIAM H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2365 CARILLON POINT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$213.7200 to $214.7150.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$214.7200 to $215.6900.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$215.7400 to $216.6000.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$213.9900 to $214.9800.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$215.0000 to $215.9850.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$215.9900 to $216.9800.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$216.9900 to $217.2700.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Cascade Investment, L.L.C. by: /s/ Alan Heuberger, Attorney-in-fact for Michael Larson, Business Manager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William H. Gates III by: /s/ Alan Heuberger,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52192" TargetMode="External"/><Relationship Id="rId5" Type="http://schemas.openxmlformats.org/officeDocument/2006/relationships/hyperlink" Target="http://www.sec.gov/cgi-bin/browse-edgar?action=getcompany&amp;CIK=00010603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hyperlink" Target="http://www.sec.gov/cgi-bin/browse-edgar?action=getcompany&amp;CIK=0001052192" TargetMode="External"/><Relationship Id="rId9" Type="http://schemas.openxmlformats.org/officeDocument/2006/relationships/hyperlink" Target="http://www.sec.gov/cgi-bin/browse-edgar?action=getcompany&amp;CIK=0000902012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1120</Words>
  <Characters>6130</Characters>
  <CharactersWithSpaces>7102</CharactersWithSpaces>
  <Paragraphs>176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